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西南医科大学专业水平评估指标体系</w:t>
      </w:r>
    </w:p>
    <w:tbl>
      <w:tblPr>
        <w:tblStyle w:val="4"/>
        <w:tblW w:w="942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0"/>
        <w:gridCol w:w="690"/>
        <w:gridCol w:w="45"/>
        <w:gridCol w:w="1035"/>
        <w:gridCol w:w="15"/>
        <w:gridCol w:w="630"/>
        <w:gridCol w:w="38"/>
        <w:gridCol w:w="2429"/>
        <w:gridCol w:w="39"/>
        <w:gridCol w:w="2429"/>
        <w:gridCol w:w="40"/>
        <w:gridCol w:w="320"/>
        <w:gridCol w:w="30"/>
        <w:gridCol w:w="330"/>
        <w:gridCol w:w="20"/>
        <w:gridCol w:w="340"/>
        <w:gridCol w:w="10"/>
        <w:gridCol w:w="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  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观测点</w:t>
            </w:r>
          </w:p>
        </w:tc>
        <w:tc>
          <w:tcPr>
            <w:tcW w:w="6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参考权重</w:t>
            </w:r>
          </w:p>
        </w:tc>
        <w:tc>
          <w:tcPr>
            <w:tcW w:w="2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A级标准</w:t>
            </w:r>
          </w:p>
        </w:tc>
        <w:tc>
          <w:tcPr>
            <w:tcW w:w="2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C级标准</w:t>
            </w: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7" w:rightChars="-8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定位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（15%）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定位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专业定位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定位准确，人才培养目标明确。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定位基本准确，人才培养目标明确。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建设思路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专业建设思路与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措施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有明确的专业建设思路，建设工作坚持重在改革、重在创新的原则，始终把提高人才培养质量作为建设的核心。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专业建设思路基本明确，建设工作有一定的改革与创新；能把提高人才培养质量作为建设的核心。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建设规划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专业建设规划与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实施方案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专业建设目标明确，规划科学、合理，实施方案详细、措施得当。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有规划、有措施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建设保障措施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领导重视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专业所在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院（系）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领导班子重视专业建设。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专业所在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院（系）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领导班子比较重视专业建设。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配套政策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院（系）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有支持专业建设的配套政策。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院（系）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有一定的支持专业建设的配套政策。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师资队伍建设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（25%）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师资培养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师资建设规划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目标明确，规划科学、合理，措施得当。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有规划、有措施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青年教师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培养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青年教师导师制落实好（机制完善，措施得力），成效明显。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实行青年教师导师制，有一定成效。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师资数量与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结构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师资数量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教学队伍规模满足教学要求。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教学队伍的规模基本满足教学要求。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整理结构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教师队伍的年龄、学历、学位、职称、学缘结构合理，发展趋势良好；有省级学科带头人、教学名师或骨干教师；高级职称教师比例≥40%。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整体结构基本合理，有学科带头人；高级职称教师比例≥25%。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学位比例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专任教师中具有硕士及以上学位的比例≥50%。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专任教师中具有硕士及以上学位的比例30% ～ 40%。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主讲教师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主讲教师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具有讲师或硕士学位的教师占主讲教师比例≥95%；专业基础课和专业课每门配讲师及以上职称教师分别≥3人和≥2人；高职称教师每年均为本科生授课。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具有讲师或硕士学位的教师占主讲教师比例≥85%；80%以上的专业基础课和专业课按A级标准配备教师；高职称教每年为本科生授课比例≥95%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教师风范与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教师风范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教师认真履行职责，治学严谨，教学效果好；教书育人,为人师表。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大多数教师能认真履行职责，治学严谨，教学效果较好；基本上做到教书育人,为人师表。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教学水平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课堂教学质量评价优良率≥90%；近年来有省级以上教学研究课题；近年来公开发表教研论文1篇/人以上。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课堂教学质量评价合格达到100%；近年来有校级以上教学研究课题；近年来有公开发表的教研论文。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学术水平</w:t>
            </w:r>
          </w:p>
        </w:tc>
        <w:tc>
          <w:tcPr>
            <w:tcW w:w="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2" w:leftChars="-1" w:right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年人均发表科研论文1篇以上，有论文在核心期刊发表；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参加教研、科研课题的教师比例≥70%，或年人均科研经费1万元以上；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教师获奖率（含科研、教研、教学、综合奖）≥20%。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年人均发表科研论文0.5篇以上；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参加教研、科研课题的教师比例30%-50%，或年人均科研经费0.5万元以上；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教师获奖率（含科研、教研、教学、综合奖）5%-10%。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  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观测点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参考权重</w:t>
            </w:r>
          </w:p>
        </w:tc>
        <w:tc>
          <w:tcPr>
            <w:tcW w:w="24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A级标准</w:t>
            </w:r>
          </w:p>
        </w:tc>
        <w:tc>
          <w:tcPr>
            <w:tcW w:w="2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C级标准垓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教学建设与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改革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（30%）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教学基本文件建设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人才培养计划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科学合理，符合培养目标要求，课程体系优化，学分数恰当，体现知识、能力、素质的协调发展，有利于人才素质的全面提高和个性发展。专业目录规定的主要课程的开出率＝100%（且课程质量高）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基本能反映培养目标要求；专业目录规定的主要课程的开出率≥80%－90%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教学大纲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各课程教学大纲、实验（见习）大纲（或指导书）完整，符合课程目标，质量高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完整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教学基本条件建设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实验实习基地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实验室、实习基地建设目标明确、规划合理、措施得力、责任落实，完成执行情况好。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校内外实习基地完善；设施满足因材施教的实践教学要求。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实验室、实习基地建设有规划、有措施、有落实。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实验室、实习场所面积达到教育部规定；能满足教学基本要求。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图书资料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630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专业资料丰富，利用率高，能满足教学及学生自主学习的需要。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widowControl/>
              <w:tabs>
                <w:tab w:val="left" w:pos="630"/>
              </w:tabs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</w:rPr>
              <w:t>专业资料基本满足教学需要。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课程建设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课程建设规划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规划合理、可行，效果明显；有校级及以上精品课程。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有规划、有措施、有落实。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教学内容与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体系改革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教学内容不断更新，反映学科新知识；课程体系改革力度大，课程群建设、课程整合有成效；有教改成果。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教学内容能基本反映最新学科知识，基本符合学科体系，有益培养目标的实现。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教学方法与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手段改革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积极改革教学方法（包括考试方法），成效显著；必修课采用多媒体授课学时占总学时比例≥15%，授课效果好。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注意改革教学方法，利用现代教育技术，10%左右课程有CAI软件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双语教学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达到国家水平评估指标A级标准。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达到国家水平评估指标C级标准。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教材建设与选用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有规划，有措施；专业必修课选用获国家、省部级以上奖或公认水平较高的优秀教材≥80%；有获奖教材。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选用获国家、省部级以上奖或公认水平较高的优秀教材≥60%。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实践教学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实践教学内容与体系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注意内容更新，体系设计科学合理，符合培养目标要求，创造条件使学生较早参加科研和创新活动，效果好。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基本符合培养目标的要求，实验（见习）项目开出率达到教学大纲的90%。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实验注重学生创新思维和动手能力的培养，综合性、设计性实验≥80%，效果好；实验室开张时间长、开放范围及覆盖面广。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有综合性、设计性实验，效果较好；有开张性实验室。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时间有保证、措施完善、效果好。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时间有保证、措施得力、效果较好。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  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观测点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参考权重</w:t>
            </w:r>
          </w:p>
        </w:tc>
        <w:tc>
          <w:tcPr>
            <w:tcW w:w="24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A级标准</w:t>
            </w:r>
          </w:p>
        </w:tc>
        <w:tc>
          <w:tcPr>
            <w:tcW w:w="2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C级标准垓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4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学风与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（30%）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学风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学习风气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学风优良，学生基本无缺课、违纪现象。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学生自觉遵守校纪校规；违纪学生比例不超过5%；学生缺课率（抽查）不超过3%。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学生基本理论与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基本技能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主要基础课（含专业基础课）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考试质量评价合格率≥90%，学生掌握情况良好，成绩及格率≥90%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考试质量评价合格率为75%—80%，成绩基本呈正态分布，成绩及格率≥80%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专业课及专业技能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考试质量评价合格率≥90%，学生掌握情况良好，成绩及格率≥90%；临床技能、专业技能水平高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考试质量评价合格率为75%—80%，成绩基本呈正态分布，成绩及格率≥80%；临床技能、专业技能抽测基本合格。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英语四级通过率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累计通过率≥70%，一次通过率≥50%。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累计通过率≥50%，一次通过率≥30%。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计算机等级通过率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通过率≥100%。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通过率≥95%。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学生创新与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实践能力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科技文化作品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有一定数量的获校级以上（不含校级）的科技文化作品。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有获校级以上的科技文化作品。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毕业设计（论文）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毕业（设计）论文选题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选题符合培养目标要求，联系实际的题目占70%以上。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选题基本符合培养目标要求，联系实际的题目占50%。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毕业设计（论文）指导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毕业设计条件有保障，教学要求明确，管理规范、严格。选派指导教师符合要求。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毕业设计条件符合要求，教学要求明确，管理基本规范，选派指导教师基本符合要求。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毕业设计（论文）质量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质量好，抽样评价吻合率≥90%。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符合要求，抽样评价吻合率≥75%。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社会声誉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生源质量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新生录取第一志愿率高，生源好。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新生录取第一志愿率较高，生源较好。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学生满意率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学生满意率≥90%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学生满意率≥75%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学生毕业率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≥85%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学生获学位率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获学位学生数/应届毕业学生数≥85%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获学位学生数/应届毕业学生数≥75%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就业率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4.0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≥85%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≥70%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" w:right="0" w:firstLine="420" w:firstLineChars="175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专业特色</w:t>
            </w:r>
          </w:p>
        </w:tc>
        <w:tc>
          <w:tcPr>
            <w:tcW w:w="87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1" w:right="0" w:hanging="2" w:hangingChars="1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特色是在长期办学过程中积淀形成的，本专业特有的优质风貌。专业特色应当对优化人才培养过程、提高教学质量作用大，效果显著。专业特色有一定的稳定性并应在社会上有一定影响得到公认。专业特色可能体现在不同层面：（1）体现在专业办学观念、办学指导思想上；（2）体现在专业教学模式、人才培养特色上；（3）体现在教学过程上的特色—课程体系、教学方法以及解决教改中的重点问题等；（4）体现在教学管理上的特色—科学先进的教学管理制度、运行机制等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宋体" w:eastAsia="仿宋_GB2312" w:cs="仿宋_GB2312"/>
          <w:color w:val="0000FF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Times New Roman"/>
          <w:bCs/>
          <w:kern w:val="2"/>
          <w:sz w:val="28"/>
          <w:szCs w:val="28"/>
          <w:lang w:val="en-US" w:eastAsia="zh-CN" w:bidi="ar"/>
        </w:rPr>
        <w:t xml:space="preserve">                             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20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character" w:customStyle="1" w:styleId="5">
    <w:name w:val="批注框文本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2016-10-17T03:22:59Z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